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AE1" w:rsidRPr="00E57D47" w:rsidRDefault="00D10765" w:rsidP="00187AE1">
      <w:pPr>
        <w:pStyle w:val="a3"/>
        <w:spacing w:before="0" w:beforeAutospacing="0" w:after="0" w:afterAutospacing="0"/>
        <w:jc w:val="center"/>
        <w:textAlignment w:val="baseline"/>
        <w:rPr>
          <w:rStyle w:val="a4"/>
          <w:bdr w:val="none" w:sz="0" w:space="0" w:color="auto" w:frame="1"/>
        </w:rPr>
      </w:pPr>
      <w:r w:rsidRPr="00E57D47">
        <w:rPr>
          <w:rStyle w:val="a4"/>
          <w:rFonts w:ascii="Arial" w:hAnsi="Arial" w:cs="Arial"/>
          <w:bdr w:val="none" w:sz="0" w:space="0" w:color="auto" w:frame="1"/>
        </w:rPr>
        <w:t>Проект т</w:t>
      </w:r>
      <w:r w:rsidR="00187AE1" w:rsidRPr="00E57D47">
        <w:rPr>
          <w:rStyle w:val="a4"/>
          <w:rFonts w:ascii="Arial" w:hAnsi="Arial" w:cs="Arial"/>
          <w:bdr w:val="none" w:sz="0" w:space="0" w:color="auto" w:frame="1"/>
        </w:rPr>
        <w:t>ехническо</w:t>
      </w:r>
      <w:r w:rsidRPr="00E57D47">
        <w:rPr>
          <w:rStyle w:val="a4"/>
          <w:rFonts w:ascii="Arial" w:hAnsi="Arial" w:cs="Arial"/>
          <w:bdr w:val="none" w:sz="0" w:space="0" w:color="auto" w:frame="1"/>
        </w:rPr>
        <w:t xml:space="preserve">го </w:t>
      </w:r>
      <w:r w:rsidR="00187AE1" w:rsidRPr="00E57D47">
        <w:rPr>
          <w:rStyle w:val="a4"/>
          <w:rFonts w:ascii="Arial" w:hAnsi="Arial" w:cs="Arial"/>
          <w:bdr w:val="none" w:sz="0" w:space="0" w:color="auto" w:frame="1"/>
        </w:rPr>
        <w:t>задани</w:t>
      </w:r>
      <w:r w:rsidRPr="00E57D47">
        <w:rPr>
          <w:rStyle w:val="a4"/>
          <w:rFonts w:ascii="Arial" w:hAnsi="Arial" w:cs="Arial"/>
          <w:bdr w:val="none" w:sz="0" w:space="0" w:color="auto" w:frame="1"/>
        </w:rPr>
        <w:t>я</w:t>
      </w:r>
    </w:p>
    <w:p w:rsidR="00187AE1" w:rsidRPr="00E57D47" w:rsidRDefault="00EF0D3D" w:rsidP="00187AE1">
      <w:pPr>
        <w:pStyle w:val="a3"/>
        <w:spacing w:before="0" w:beforeAutospacing="0" w:after="0" w:afterAutospacing="0"/>
        <w:jc w:val="center"/>
        <w:textAlignment w:val="baseline"/>
        <w:rPr>
          <w:rStyle w:val="a4"/>
          <w:bdr w:val="none" w:sz="0" w:space="0" w:color="auto" w:frame="1"/>
        </w:rPr>
      </w:pPr>
      <w:r w:rsidRPr="00E57D47">
        <w:rPr>
          <w:rStyle w:val="a4"/>
          <w:rFonts w:ascii="Arial" w:hAnsi="Arial" w:cs="Arial"/>
          <w:bdr w:val="none" w:sz="0" w:space="0" w:color="auto" w:frame="1"/>
        </w:rPr>
        <w:t xml:space="preserve">на </w:t>
      </w:r>
      <w:r w:rsidR="00AD6370" w:rsidRPr="00E57D47">
        <w:rPr>
          <w:rStyle w:val="a4"/>
          <w:rFonts w:ascii="Arial" w:hAnsi="Arial" w:cs="Arial"/>
          <w:bdr w:val="none" w:sz="0" w:space="0" w:color="auto" w:frame="1"/>
        </w:rPr>
        <w:t>выполнение</w:t>
      </w:r>
      <w:r w:rsidR="00FB07C5" w:rsidRPr="00E57D47">
        <w:rPr>
          <w:rStyle w:val="a4"/>
          <w:rFonts w:ascii="Arial" w:hAnsi="Arial" w:cs="Arial"/>
          <w:bdr w:val="none" w:sz="0" w:space="0" w:color="auto" w:frame="1"/>
        </w:rPr>
        <w:t xml:space="preserve"> о</w:t>
      </w:r>
      <w:r w:rsidR="00187AE1" w:rsidRPr="00E57D47">
        <w:rPr>
          <w:rStyle w:val="a4"/>
          <w:rFonts w:ascii="Arial" w:hAnsi="Arial" w:cs="Arial"/>
          <w:bdr w:val="none" w:sz="0" w:space="0" w:color="auto" w:frame="1"/>
        </w:rPr>
        <w:t>ценки воздействия на окружающую среду (ОВОС)</w:t>
      </w:r>
    </w:p>
    <w:p w:rsidR="00FE1118" w:rsidRPr="00E57D47" w:rsidRDefault="00FE1118" w:rsidP="00187AE1">
      <w:pPr>
        <w:pStyle w:val="a3"/>
        <w:spacing w:before="0" w:beforeAutospacing="0" w:after="0" w:afterAutospacing="0"/>
        <w:jc w:val="center"/>
        <w:textAlignment w:val="baseline"/>
        <w:rPr>
          <w:rStyle w:val="a4"/>
          <w:rFonts w:ascii="Arial" w:hAnsi="Arial" w:cs="Arial"/>
          <w:sz w:val="18"/>
          <w:bdr w:val="none" w:sz="0" w:space="0" w:color="auto" w:frame="1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34"/>
        <w:gridCol w:w="3122"/>
        <w:gridCol w:w="5915"/>
      </w:tblGrid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Наименование и вид объекта</w:t>
            </w:r>
          </w:p>
        </w:tc>
        <w:tc>
          <w:tcPr>
            <w:tcW w:w="3090" w:type="pct"/>
          </w:tcPr>
          <w:p w:rsidR="002962B4" w:rsidRPr="001A5C68" w:rsidRDefault="002962B4" w:rsidP="00372B1B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eastAsia="Calibri" w:hAnsi="Arial" w:cs="Arial"/>
                <w:bdr w:val="none" w:sz="0" w:space="0" w:color="auto" w:frame="1"/>
              </w:rPr>
              <w:t>«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Многофункциональный комплекс обращения с отходами на территории муниципального района </w:t>
            </w:r>
            <w:r w:rsidR="00372B1B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Хворостянский</w:t>
            </w:r>
            <w:r w:rsidR="00EB7375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 Самарской области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. II этап. Полигон захоронения отходов, в том числе твердых коммунальных отходов» в части разработки проектной документации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Местоположение объекта</w:t>
            </w:r>
          </w:p>
        </w:tc>
        <w:tc>
          <w:tcPr>
            <w:tcW w:w="3090" w:type="pct"/>
          </w:tcPr>
          <w:p w:rsidR="00372B1B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Участок объекта намечаемой деятельности расположен в границах муниципального района </w:t>
            </w:r>
            <w:r w:rsidR="00372B1B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Хворостянский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 Самарской области </w:t>
            </w:r>
            <w:r w:rsidR="002C3323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на </w:t>
            </w:r>
            <w:r w:rsidR="001A5C68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расстоянии 1,2</w:t>
            </w:r>
            <w:r w:rsidR="00372B1B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 км юго-восточнее с. Хворостянка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, кадастровый номер земельного участка </w:t>
            </w:r>
            <w:r w:rsidR="00EB7375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КН 63:34:0804008:61, площадью 6</w:t>
            </w:r>
            <w:r w:rsidR="00372B1B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.55 га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 - </w:t>
            </w:r>
            <w:r w:rsidR="00372B1B" w:rsidRPr="001A5C68">
              <w:rPr>
                <w:rFonts w:ascii="Arial" w:hAnsi="Arial" w:cs="Arial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. 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Заказчик и его юридический адрес</w:t>
            </w:r>
          </w:p>
        </w:tc>
        <w:tc>
          <w:tcPr>
            <w:tcW w:w="3090" w:type="pct"/>
          </w:tcPr>
          <w:p w:rsidR="002962B4" w:rsidRPr="001A5C68" w:rsidRDefault="00372B1B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Муниципальное казенное учреждение «Управление по стр</w:t>
            </w:r>
            <w:r w:rsidR="003A616E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оительству </w:t>
            </w:r>
            <w:r w:rsidR="001A5C68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и </w:t>
            </w:r>
            <w:r w:rsidR="003A616E"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жилищно-коммунальному хозяйству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» муниципального района Хворостянский Самарской области</w:t>
            </w:r>
          </w:p>
          <w:p w:rsidR="002962B4" w:rsidRPr="001A5C68" w:rsidRDefault="00372B1B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 xml:space="preserve">445590, Самарская область, Хворостянский район, </w:t>
            </w:r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br/>
              <w:t xml:space="preserve">с. Хворостянка, пл. </w:t>
            </w:r>
            <w:proofErr w:type="spellStart"/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Плясункова</w:t>
            </w:r>
            <w:proofErr w:type="spellEnd"/>
            <w:r w:rsidRPr="001A5C68">
              <w:rPr>
                <w:rStyle w:val="a4"/>
                <w:rFonts w:ascii="Arial" w:eastAsia="Calibri" w:hAnsi="Arial" w:cs="Arial"/>
                <w:b w:val="0"/>
                <w:bdr w:val="none" w:sz="0" w:space="0" w:color="auto" w:frame="1"/>
              </w:rPr>
              <w:t>, 10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Проектная организация и ее юридический адрес/ Исполнитель работ по оценке воздействия на окружающую среду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Федеральное государственное бюджетное образовательное учреждение высшего образования «Самарский государственный технический университет»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443100, Самарская область, г. Самара, ул. Молодогвардейская, д. 244, Главный корпус,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Цель проведения ОВОС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Оценка воздействия намечаемой хозяйственной и иной деятельности на окружающую природную среду.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Учет мнения общественности при </w:t>
            </w:r>
            <w:r w:rsidR="001A5C68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реализации проекта</w:t>
            </w:r>
            <w:r w:rsid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рекультивации</w:t>
            </w:r>
            <w:r w:rsidR="001A5C68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Прохождение государственной экологической экспертизы документации, обосновывающей намечаемую хозяйственную или иную деятельность.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Сроки проведения оценки воздействия на окружающую среду</w:t>
            </w:r>
          </w:p>
        </w:tc>
        <w:tc>
          <w:tcPr>
            <w:tcW w:w="3090" w:type="pct"/>
          </w:tcPr>
          <w:p w:rsidR="002962B4" w:rsidRPr="001A5C68" w:rsidRDefault="001A5C68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Начало – май</w:t>
            </w:r>
            <w:r w:rsidR="00EB7375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2021</w:t>
            </w:r>
            <w:r w:rsidR="002962B4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г.</w:t>
            </w:r>
          </w:p>
          <w:p w:rsidR="002962B4" w:rsidRPr="001A5C68" w:rsidRDefault="001A5C68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Завершение – август</w:t>
            </w:r>
            <w:r w:rsidR="00EB7375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2021</w:t>
            </w:r>
            <w:r w:rsidR="002962B4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г.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Назначение и основные решения</w:t>
            </w:r>
          </w:p>
        </w:tc>
        <w:tc>
          <w:tcPr>
            <w:tcW w:w="3090" w:type="pct"/>
          </w:tcPr>
          <w:p w:rsidR="00DC1F7D" w:rsidRPr="001A5C68" w:rsidRDefault="001A5C68" w:rsidP="00DC1F7D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«</w:t>
            </w:r>
            <w:r w:rsidR="002962B4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Многофункциональный комплекс обращения с отходами на территории муниципального района </w:t>
            </w:r>
            <w:r w:rsidR="00372B1B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Хворостянский</w:t>
            </w:r>
            <w:r w:rsidR="002962B4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Самарской области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»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предназначен для обработки отходов (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  <w:lang w:val="en-US"/>
              </w:rPr>
              <w:t>I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этап), а также захоронения отходов, в том числе твердых коммунальных отходов (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  <w:lang w:val="en-US"/>
              </w:rPr>
              <w:t>II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этап). Объект намечаемой деятельности является обязательным неотъемлемым элементом МФК и предназначен для захоронения </w:t>
            </w:r>
            <w:proofErr w:type="spellStart"/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неутилизируемых</w:t>
            </w:r>
            <w:proofErr w:type="spellEnd"/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балластных отходов в том числе после предварительной обработки на сооружениях 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  <w:lang w:val="en-US"/>
              </w:rPr>
              <w:t>I</w:t>
            </w:r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этапа (мусоросортировочная станци</w:t>
            </w:r>
            <w:bookmarkStart w:id="0" w:name="_GoBack"/>
            <w:bookmarkEnd w:id="0"/>
            <w:r w:rsidR="00DC1F7D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я)</w:t>
            </w:r>
          </w:p>
          <w:p w:rsidR="00DC1F7D" w:rsidRPr="001A5C68" w:rsidRDefault="00DC1F7D" w:rsidP="00DC1F7D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Состав сооружений объекта намечаемой деятельности: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участок захоронения отходов IV и V классов опасности - "тело" полигона мощностью до </w:t>
            </w:r>
            <w:r w:rsidR="00372B1B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35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тыс. тонн/год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участок хранения минерального грунта из расчета 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lastRenderedPageBreak/>
              <w:t xml:space="preserve">месячной потребности (30 дней) технологической изоляции рабочих карт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локальные очистные сооружения поверхностного стока и фильтрата полигона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пруд-накопитель/ накопительная емкость поверхностного стока с участка обработки и размещения отходов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пруд-накопитель/накопительная емкость фильтрата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площадки пожарных резервуаров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весовая (2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ур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 отв.);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мобильное здание для персонала типа «вагон-дом» (3 уровень ответственности согласно п. 2.9.1 ГОСТ 22853-86) - мобильное (инвентарное) здание с несъемной ходовой частью для персонала типа «вагон-дом» соответствующее ГОСТ 22853- 86 «Здания мобильные инвентарные. Технические условия»;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биотуалет (заводское изделие);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Fonts w:ascii="Arial" w:hAnsi="Arial" w:cs="Arial"/>
                <w:color w:val="60646B"/>
                <w:w w:val="115"/>
              </w:rPr>
              <w:t xml:space="preserve">- 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КТПН;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шлагбаум;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наблюдательные скважины</w:t>
            </w:r>
            <w:r w:rsidR="00372B1B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Перечень нормативных документов, в соответствии с требованиями которых необходимо провести процедуру ОВОС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Комплект документации по оценке воздействия намечаемой деятельности на окружающую среду (ОВОС) должен быть разработан в соответствии с требованиями действующих нормативных документов: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Положение об оценке воздействия намечаемой хозяйственной и иной деятельности на окружающую среду в Российской Федерации, утв. Приказом </w:t>
            </w:r>
            <w:proofErr w:type="spellStart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Госкомэкологии</w:t>
            </w:r>
            <w:proofErr w:type="spellEnd"/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 РФ от 16.05.2000 № 372.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ФЗ «Об охране окружающей среды» от 10.01.2002 № 7-ФЗ.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ФЗ «Об экологической экспертизе» от 23.11.1995 № 174-ФЗ.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ФЗ «Об охране атмосферного воздуха» от 04.05.1999 № 96-ФЗ.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ФЗ «Об отходах производства и потребления» от 24.06.1998 № 89-ФЗ.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Постановление Прави</w:t>
            </w:r>
            <w:r w:rsidR="00A947AD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тельства РФ от 10.07.2018 №800 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"О проведении рекультивации и консервации земель" (вместе с "Правилами проведения рекультивации и консервации земель").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Федерального закона от 30.03.1999 N 52-ФЗ "О санитарно-эпидемиологическом благополучии населения".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Градостроительный Кодекс РФ от 29.12.2004 № 190-ФЗ.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Водный Кодекс РФ от 03.06.2006 № 74-ФЗ.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Земельный Кодекс РФ от 25.10.2001 № 136-ФЗ.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Перечень исходных данных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Материалы изысканий и исследований в объеме, требуемом для разработки материалов ОВОС.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Проектная документация согласно «Положению о составе разделов проектной документации и требованиях к их содержанию» утвержденному постановлением Правительства РФ от 16.02.2008г. №87</w:t>
            </w:r>
            <w:r w:rsidR="00D233B8"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 xml:space="preserve">Основные методы проведения оценки </w:t>
            </w: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lastRenderedPageBreak/>
              <w:t>воздействия на окружающую среду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lastRenderedPageBreak/>
              <w:t xml:space="preserve">Материалы ОВОС должны быть выполнены в соответствии с законодательными и нормативными 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lastRenderedPageBreak/>
              <w:t>требованиями РФ в области охраны окружающей среды, природопользования, а также удовлетворять требованиям региональных законодательных и нормативных документов.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Материалы ОВОС необходимо выполнить на основе имеющейся официальной информации, статистики, проведенных ранее исследований. При выявлении недостатка в исходных данных и других неопределенностей в определении воздействий намечаемой деятельности на окружающую среду, описать данные неопределенности, оценить степень их значимости и разработать рекомендации по их устранению.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План проведения консультаций с общественностью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С целью выявления общественного мнения и обеспечения возможности его учета в проектных решениях, необходимо осуществить информирование общественности о намечаемой хозяйственной деятельности в период подготовки и проведения ОВОС.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В качестве основного метода выявления общественных предпочтений необходимо: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проинформировать заинтересованные стороны процесса ОВОС о настоящем техническом задании на проведение ОВОС, предварительных материалах ОВОС, о месте свободного доступа к настоящему техническому заданию и предварительным материалам ОВОС и фиксации замечаний и предложений в течение не менее 30 календарных дней со дня опубликования информации. Фиксация замечаний и предложений осуществляется путем ведения журнала регистрации посетителей.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При наличии обоснованных замечаний и предложений предусмотреть корректировку технического задания и разрабатываемых на его основе материалов по оценке воздействия на окружающую среду;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информирование осуществить путем размещения объявлений в официальных печатных изданиях федеральных органов исполнительной власти, органов исполнительной власти субъекта РФ и органов местного самоуправления.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Дополнительное информирование участников процесса оценки воздействия на окружающую среду может осуществляться путем размещения информации в сети Интернет и иными способами, обеспечивающими распространение и доступ к информации.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Основные задачи при проведении оценки воздействия на окружающую среду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Оценка воздействия на окружающую среду проводится с целью выявления характера, интенсивности, степени опасности влияния намечаемой хозяйственной деятельности на состояние окружающей среды с целью принятия решения о допустимости осуществления хозяйственной деятельности.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Для достижения указанной цели при проведении ОВОС необходимо решить следующие задачи: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провести комплексную оценку воздействия на окружающую среду;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 xml:space="preserve">- рассмотреть факторы негативного воздействия на </w:t>
            </w: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lastRenderedPageBreak/>
              <w:t>природную среду, определить количественные характеристики воздействий;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разработать мероприятия по предотвращению и снижению возможного негативного воздействия на окружающую среду.</w:t>
            </w:r>
          </w:p>
        </w:tc>
      </w:tr>
      <w:tr w:rsidR="002962B4" w:rsidRPr="001A5C68" w:rsidTr="00737D26">
        <w:tc>
          <w:tcPr>
            <w:tcW w:w="279" w:type="pct"/>
            <w:vAlign w:val="center"/>
          </w:tcPr>
          <w:p w:rsidR="002962B4" w:rsidRPr="001A5C68" w:rsidRDefault="002962B4" w:rsidP="002962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20" w:lineRule="atLeast"/>
              <w:ind w:left="0" w:firstLine="0"/>
              <w:jc w:val="center"/>
              <w:textAlignment w:val="baseline"/>
              <w:rPr>
                <w:rStyle w:val="a4"/>
                <w:rFonts w:ascii="Arial" w:hAnsi="Arial" w:cs="Arial"/>
                <w:b w:val="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pct"/>
          </w:tcPr>
          <w:p w:rsidR="002962B4" w:rsidRPr="001A5C68" w:rsidRDefault="002962B4" w:rsidP="00737D26">
            <w:pPr>
              <w:spacing w:line="20" w:lineRule="atLeast"/>
              <w:ind w:left="-57" w:right="-57"/>
              <w:contextualSpacing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1A5C68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ru-RU"/>
              </w:rPr>
              <w:t>Состав и содержание материалов по оценке воздействия на окружающую среду</w:t>
            </w:r>
          </w:p>
        </w:tc>
        <w:tc>
          <w:tcPr>
            <w:tcW w:w="3090" w:type="pct"/>
          </w:tcPr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В соответствии с «Положением об оценке воздействия намечаемой хозяйственной и иной деятельности на окружающую среду в Российской Федерации» от 16.05.2000 № 372, исследования по оценке воздействия на окружающую среду намечаемой хозяйственной и иной деятельности должны включать следующие материалы: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характеристику намечаемой хозяйственной и иной деятельности и возможных альтернатив;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анализ состояния территории, на которую может оказать влияние намечаемая хозяйственная и иная деятельность (состояние природной среды, наличие и характер антропогенной нагрузки и т.п.);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возможные воздействия намечаемой хозяйственной и иной деятельности на окружающую среду с учетом альтернатив;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оценку воздействий на окружающую среду намечаемой хозяйственной и иной деятельности (вероятности возникновения риска, степени, характера, масштаба, зоны распространения, а также прогнозирование экологических последствий);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мероприятия, уменьшающие, смягчающие или предотвращающие негативные воздействия, оценку их эффективности и возможности реализации;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предложения по программе экологического мониторинга и контроля на всех этапах реализации намечаемой хозяйственной и иной деятельности;</w:t>
            </w:r>
          </w:p>
          <w:p w:rsidR="002962B4" w:rsidRPr="001A5C68" w:rsidRDefault="002962B4" w:rsidP="00737D26">
            <w:pPr>
              <w:spacing w:line="20" w:lineRule="atLeast"/>
              <w:contextualSpacing/>
              <w:jc w:val="both"/>
              <w:textAlignment w:val="baseline"/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</w:pPr>
            <w:r w:rsidRPr="001A5C68">
              <w:rPr>
                <w:rStyle w:val="a4"/>
                <w:rFonts w:ascii="Arial" w:hAnsi="Arial" w:cs="Arial"/>
                <w:b w:val="0"/>
                <w:bdr w:val="none" w:sz="0" w:space="0" w:color="auto" w:frame="1"/>
              </w:rPr>
              <w:t>- предварительный вариант материалов по оценке воздействия на окружающую среду намечаемой хозяйственной и иной деятельности (включая краткое изложение для неспециалистов). </w:t>
            </w:r>
          </w:p>
        </w:tc>
      </w:tr>
    </w:tbl>
    <w:p w:rsidR="009E470F" w:rsidRPr="0035038E" w:rsidRDefault="009E470F" w:rsidP="009E470F">
      <w:pPr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</w:p>
    <w:p w:rsidR="004C137A" w:rsidRPr="0035038E" w:rsidRDefault="004C137A">
      <w:pPr>
        <w:rPr>
          <w:rStyle w:val="a4"/>
          <w:rFonts w:ascii="Arial" w:eastAsia="Times New Roman" w:hAnsi="Arial" w:cs="Arial"/>
          <w:color w:val="666666"/>
          <w:sz w:val="24"/>
          <w:szCs w:val="24"/>
          <w:bdr w:val="none" w:sz="0" w:space="0" w:color="auto" w:frame="1"/>
          <w:lang w:eastAsia="ru-RU"/>
        </w:rPr>
      </w:pPr>
    </w:p>
    <w:sectPr w:rsidR="004C137A" w:rsidRPr="0035038E" w:rsidSect="005054B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B1AB4"/>
    <w:multiLevelType w:val="hybridMultilevel"/>
    <w:tmpl w:val="136A11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0D27EB"/>
    <w:multiLevelType w:val="hybridMultilevel"/>
    <w:tmpl w:val="CCB27104"/>
    <w:lvl w:ilvl="0" w:tplc="B30C8278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287522"/>
    <w:multiLevelType w:val="hybridMultilevel"/>
    <w:tmpl w:val="D3D8A4A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4AB308D0"/>
    <w:multiLevelType w:val="hybridMultilevel"/>
    <w:tmpl w:val="A0D8E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72D1F"/>
    <w:multiLevelType w:val="hybridMultilevel"/>
    <w:tmpl w:val="5C6AC0E2"/>
    <w:lvl w:ilvl="0" w:tplc="36A00F0C">
      <w:numFmt w:val="bullet"/>
      <w:lvlText w:val="-"/>
      <w:lvlJc w:val="left"/>
      <w:pPr>
        <w:ind w:left="117" w:hanging="146"/>
      </w:pPr>
      <w:rPr>
        <w:rFonts w:ascii="Times New Roman" w:eastAsia="Times New Roman" w:hAnsi="Times New Roman" w:cs="Times New Roman" w:hint="default"/>
        <w:color w:val="62666B"/>
        <w:w w:val="106"/>
        <w:sz w:val="22"/>
        <w:szCs w:val="22"/>
      </w:rPr>
    </w:lvl>
    <w:lvl w:ilvl="1" w:tplc="8416BF06">
      <w:numFmt w:val="bullet"/>
      <w:lvlText w:val="•"/>
      <w:lvlJc w:val="left"/>
      <w:pPr>
        <w:ind w:left="944" w:hanging="146"/>
      </w:pPr>
      <w:rPr>
        <w:rFonts w:hint="default"/>
      </w:rPr>
    </w:lvl>
    <w:lvl w:ilvl="2" w:tplc="BB6CA83A">
      <w:numFmt w:val="bullet"/>
      <w:lvlText w:val="•"/>
      <w:lvlJc w:val="left"/>
      <w:pPr>
        <w:ind w:left="1769" w:hanging="146"/>
      </w:pPr>
      <w:rPr>
        <w:rFonts w:hint="default"/>
      </w:rPr>
    </w:lvl>
    <w:lvl w:ilvl="3" w:tplc="6CE28D5C">
      <w:numFmt w:val="bullet"/>
      <w:lvlText w:val="•"/>
      <w:lvlJc w:val="left"/>
      <w:pPr>
        <w:ind w:left="2593" w:hanging="146"/>
      </w:pPr>
      <w:rPr>
        <w:rFonts w:hint="default"/>
      </w:rPr>
    </w:lvl>
    <w:lvl w:ilvl="4" w:tplc="6832C512">
      <w:numFmt w:val="bullet"/>
      <w:lvlText w:val="•"/>
      <w:lvlJc w:val="left"/>
      <w:pPr>
        <w:ind w:left="3418" w:hanging="146"/>
      </w:pPr>
      <w:rPr>
        <w:rFonts w:hint="default"/>
      </w:rPr>
    </w:lvl>
    <w:lvl w:ilvl="5" w:tplc="CC3A72C4">
      <w:numFmt w:val="bullet"/>
      <w:lvlText w:val="•"/>
      <w:lvlJc w:val="left"/>
      <w:pPr>
        <w:ind w:left="4242" w:hanging="146"/>
      </w:pPr>
      <w:rPr>
        <w:rFonts w:hint="default"/>
      </w:rPr>
    </w:lvl>
    <w:lvl w:ilvl="6" w:tplc="2434480E">
      <w:numFmt w:val="bullet"/>
      <w:lvlText w:val="•"/>
      <w:lvlJc w:val="left"/>
      <w:pPr>
        <w:ind w:left="5067" w:hanging="146"/>
      </w:pPr>
      <w:rPr>
        <w:rFonts w:hint="default"/>
      </w:rPr>
    </w:lvl>
    <w:lvl w:ilvl="7" w:tplc="D442775A">
      <w:numFmt w:val="bullet"/>
      <w:lvlText w:val="•"/>
      <w:lvlJc w:val="left"/>
      <w:pPr>
        <w:ind w:left="5891" w:hanging="146"/>
      </w:pPr>
      <w:rPr>
        <w:rFonts w:hint="default"/>
      </w:rPr>
    </w:lvl>
    <w:lvl w:ilvl="8" w:tplc="49A6EFA4">
      <w:numFmt w:val="bullet"/>
      <w:lvlText w:val="•"/>
      <w:lvlJc w:val="left"/>
      <w:pPr>
        <w:ind w:left="6716" w:hanging="146"/>
      </w:pPr>
      <w:rPr>
        <w:rFonts w:hint="default"/>
      </w:rPr>
    </w:lvl>
  </w:abstractNum>
  <w:abstractNum w:abstractNumId="5" w15:restartNumberingAfterBreak="0">
    <w:nsid w:val="7CA81810"/>
    <w:multiLevelType w:val="hybridMultilevel"/>
    <w:tmpl w:val="B50AD4E8"/>
    <w:lvl w:ilvl="0" w:tplc="89E6E206">
      <w:numFmt w:val="bullet"/>
      <w:lvlText w:val="-"/>
      <w:lvlJc w:val="left"/>
      <w:pPr>
        <w:ind w:left="297" w:hanging="142"/>
      </w:pPr>
      <w:rPr>
        <w:rFonts w:ascii="Times New Roman" w:eastAsia="Times New Roman" w:hAnsi="Times New Roman" w:cs="Times New Roman" w:hint="default"/>
        <w:color w:val="60646B"/>
        <w:w w:val="113"/>
        <w:sz w:val="22"/>
        <w:szCs w:val="22"/>
      </w:rPr>
    </w:lvl>
    <w:lvl w:ilvl="1" w:tplc="ABE60866">
      <w:numFmt w:val="bullet"/>
      <w:lvlText w:val="•"/>
      <w:lvlJc w:val="left"/>
      <w:pPr>
        <w:ind w:left="1106" w:hanging="142"/>
      </w:pPr>
      <w:rPr>
        <w:rFonts w:hint="default"/>
      </w:rPr>
    </w:lvl>
    <w:lvl w:ilvl="2" w:tplc="869695CC">
      <w:numFmt w:val="bullet"/>
      <w:lvlText w:val="•"/>
      <w:lvlJc w:val="left"/>
      <w:pPr>
        <w:ind w:left="1912" w:hanging="142"/>
      </w:pPr>
      <w:rPr>
        <w:rFonts w:hint="default"/>
      </w:rPr>
    </w:lvl>
    <w:lvl w:ilvl="3" w:tplc="27E01E3A">
      <w:numFmt w:val="bullet"/>
      <w:lvlText w:val="•"/>
      <w:lvlJc w:val="left"/>
      <w:pPr>
        <w:ind w:left="2718" w:hanging="142"/>
      </w:pPr>
      <w:rPr>
        <w:rFonts w:hint="default"/>
      </w:rPr>
    </w:lvl>
    <w:lvl w:ilvl="4" w:tplc="E3D04E04">
      <w:numFmt w:val="bullet"/>
      <w:lvlText w:val="•"/>
      <w:lvlJc w:val="left"/>
      <w:pPr>
        <w:ind w:left="3524" w:hanging="142"/>
      </w:pPr>
      <w:rPr>
        <w:rFonts w:hint="default"/>
      </w:rPr>
    </w:lvl>
    <w:lvl w:ilvl="5" w:tplc="5874E036">
      <w:numFmt w:val="bullet"/>
      <w:lvlText w:val="•"/>
      <w:lvlJc w:val="left"/>
      <w:pPr>
        <w:ind w:left="4330" w:hanging="142"/>
      </w:pPr>
      <w:rPr>
        <w:rFonts w:hint="default"/>
      </w:rPr>
    </w:lvl>
    <w:lvl w:ilvl="6" w:tplc="0A1E604C">
      <w:numFmt w:val="bullet"/>
      <w:lvlText w:val="•"/>
      <w:lvlJc w:val="left"/>
      <w:pPr>
        <w:ind w:left="5136" w:hanging="142"/>
      </w:pPr>
      <w:rPr>
        <w:rFonts w:hint="default"/>
      </w:rPr>
    </w:lvl>
    <w:lvl w:ilvl="7" w:tplc="CAD2783E">
      <w:numFmt w:val="bullet"/>
      <w:lvlText w:val="•"/>
      <w:lvlJc w:val="left"/>
      <w:pPr>
        <w:ind w:left="5942" w:hanging="142"/>
      </w:pPr>
      <w:rPr>
        <w:rFonts w:hint="default"/>
      </w:rPr>
    </w:lvl>
    <w:lvl w:ilvl="8" w:tplc="6E6823E0">
      <w:numFmt w:val="bullet"/>
      <w:lvlText w:val="•"/>
      <w:lvlJc w:val="left"/>
      <w:pPr>
        <w:ind w:left="6748" w:hanging="14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AE1"/>
    <w:rsid w:val="00014466"/>
    <w:rsid w:val="000700F9"/>
    <w:rsid w:val="000D0F00"/>
    <w:rsid w:val="000E42BF"/>
    <w:rsid w:val="001005F1"/>
    <w:rsid w:val="001159EA"/>
    <w:rsid w:val="00187AE1"/>
    <w:rsid w:val="00191B16"/>
    <w:rsid w:val="001A02B6"/>
    <w:rsid w:val="001A5C68"/>
    <w:rsid w:val="001D48A5"/>
    <w:rsid w:val="001E6B2A"/>
    <w:rsid w:val="001F40F0"/>
    <w:rsid w:val="002962B4"/>
    <w:rsid w:val="002C0FE5"/>
    <w:rsid w:val="002C3323"/>
    <w:rsid w:val="00316E02"/>
    <w:rsid w:val="00322E6D"/>
    <w:rsid w:val="00342BD8"/>
    <w:rsid w:val="0034689F"/>
    <w:rsid w:val="0035038E"/>
    <w:rsid w:val="00365690"/>
    <w:rsid w:val="00372B1B"/>
    <w:rsid w:val="00375F4F"/>
    <w:rsid w:val="003A616E"/>
    <w:rsid w:val="003D14B5"/>
    <w:rsid w:val="003F2A6C"/>
    <w:rsid w:val="004405D6"/>
    <w:rsid w:val="00450AE7"/>
    <w:rsid w:val="00464EC8"/>
    <w:rsid w:val="00492886"/>
    <w:rsid w:val="004C137A"/>
    <w:rsid w:val="004E42C3"/>
    <w:rsid w:val="005054BB"/>
    <w:rsid w:val="005316EF"/>
    <w:rsid w:val="005872CF"/>
    <w:rsid w:val="006112EA"/>
    <w:rsid w:val="00646CA5"/>
    <w:rsid w:val="006645F0"/>
    <w:rsid w:val="006C22C0"/>
    <w:rsid w:val="006C4D86"/>
    <w:rsid w:val="006E279C"/>
    <w:rsid w:val="006F57CA"/>
    <w:rsid w:val="0070441B"/>
    <w:rsid w:val="007335AA"/>
    <w:rsid w:val="00750F42"/>
    <w:rsid w:val="007601BC"/>
    <w:rsid w:val="007A37F5"/>
    <w:rsid w:val="007F146B"/>
    <w:rsid w:val="008C645F"/>
    <w:rsid w:val="008D5A7B"/>
    <w:rsid w:val="009144C4"/>
    <w:rsid w:val="00914DA8"/>
    <w:rsid w:val="00926795"/>
    <w:rsid w:val="009E470F"/>
    <w:rsid w:val="009E7262"/>
    <w:rsid w:val="00A030E6"/>
    <w:rsid w:val="00A55F86"/>
    <w:rsid w:val="00A62834"/>
    <w:rsid w:val="00A657E5"/>
    <w:rsid w:val="00A664E7"/>
    <w:rsid w:val="00A716C5"/>
    <w:rsid w:val="00A947AD"/>
    <w:rsid w:val="00AB0462"/>
    <w:rsid w:val="00AB628C"/>
    <w:rsid w:val="00AD58C7"/>
    <w:rsid w:val="00AD6370"/>
    <w:rsid w:val="00AF0622"/>
    <w:rsid w:val="00B13D5D"/>
    <w:rsid w:val="00B64470"/>
    <w:rsid w:val="00B7349A"/>
    <w:rsid w:val="00BA1493"/>
    <w:rsid w:val="00BB42B1"/>
    <w:rsid w:val="00C21E6D"/>
    <w:rsid w:val="00C61A0A"/>
    <w:rsid w:val="00CB222A"/>
    <w:rsid w:val="00CC684B"/>
    <w:rsid w:val="00CD0E16"/>
    <w:rsid w:val="00CD50AE"/>
    <w:rsid w:val="00D10765"/>
    <w:rsid w:val="00D233B8"/>
    <w:rsid w:val="00D50C74"/>
    <w:rsid w:val="00D73DC5"/>
    <w:rsid w:val="00D81802"/>
    <w:rsid w:val="00D85712"/>
    <w:rsid w:val="00DC1F7D"/>
    <w:rsid w:val="00E0732F"/>
    <w:rsid w:val="00E408B6"/>
    <w:rsid w:val="00E46292"/>
    <w:rsid w:val="00E57D47"/>
    <w:rsid w:val="00E835C7"/>
    <w:rsid w:val="00EB7375"/>
    <w:rsid w:val="00EF0D3D"/>
    <w:rsid w:val="00EF1956"/>
    <w:rsid w:val="00EF21B9"/>
    <w:rsid w:val="00F02017"/>
    <w:rsid w:val="00F11AD8"/>
    <w:rsid w:val="00F26BED"/>
    <w:rsid w:val="00F400EE"/>
    <w:rsid w:val="00F730F9"/>
    <w:rsid w:val="00FB07C5"/>
    <w:rsid w:val="00FD3927"/>
    <w:rsid w:val="00FE1118"/>
    <w:rsid w:val="00FE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BC6D"/>
  <w15:docId w15:val="{F8A01A83-FD44-43CF-8856-E830E3AC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470"/>
  </w:style>
  <w:style w:type="paragraph" w:styleId="1">
    <w:name w:val="heading 1"/>
    <w:basedOn w:val="a"/>
    <w:link w:val="10"/>
    <w:uiPriority w:val="9"/>
    <w:qFormat/>
    <w:rsid w:val="00646C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7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7AE1"/>
    <w:rPr>
      <w:b/>
      <w:bCs/>
    </w:rPr>
  </w:style>
  <w:style w:type="character" w:styleId="a5">
    <w:name w:val="Hyperlink"/>
    <w:basedOn w:val="a0"/>
    <w:uiPriority w:val="99"/>
    <w:semiHidden/>
    <w:unhideWhenUsed/>
    <w:rsid w:val="009E470F"/>
    <w:rPr>
      <w:color w:val="0000FF"/>
      <w:u w:val="single"/>
    </w:rPr>
  </w:style>
  <w:style w:type="table" w:customStyle="1" w:styleId="-411">
    <w:name w:val="Таблица-сетка 4 — акцент 11"/>
    <w:basedOn w:val="a1"/>
    <w:uiPriority w:val="49"/>
    <w:rsid w:val="008D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a6">
    <w:name w:val="List Paragraph"/>
    <w:basedOn w:val="a"/>
    <w:uiPriority w:val="34"/>
    <w:qFormat/>
    <w:rsid w:val="006C4D86"/>
    <w:pPr>
      <w:ind w:left="720"/>
      <w:contextualSpacing/>
    </w:pPr>
  </w:style>
  <w:style w:type="table" w:styleId="a7">
    <w:name w:val="Table Grid"/>
    <w:basedOn w:val="a1"/>
    <w:uiPriority w:val="39"/>
    <w:rsid w:val="00CD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46C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ableParagraph">
    <w:name w:val="Table Paragraph"/>
    <w:basedOn w:val="a"/>
    <w:uiPriority w:val="1"/>
    <w:qFormat/>
    <w:rsid w:val="007335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g4600_1</cp:lastModifiedBy>
  <cp:revision>17</cp:revision>
  <cp:lastPrinted>2020-01-16T15:29:00Z</cp:lastPrinted>
  <dcterms:created xsi:type="dcterms:W3CDTF">2020-01-16T13:58:00Z</dcterms:created>
  <dcterms:modified xsi:type="dcterms:W3CDTF">2021-04-30T07:41:00Z</dcterms:modified>
</cp:coreProperties>
</file>